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8BAC6" w14:textId="77777777" w:rsidR="00716709" w:rsidRPr="00F863A3" w:rsidRDefault="000A2D8F" w:rsidP="00F863A3">
      <w:pPr>
        <w:jc w:val="center"/>
        <w:rPr>
          <w:b/>
          <w:sz w:val="28"/>
          <w:szCs w:val="28"/>
        </w:rPr>
      </w:pPr>
      <w:r w:rsidRPr="00F863A3">
        <w:rPr>
          <w:b/>
          <w:sz w:val="28"/>
          <w:szCs w:val="28"/>
        </w:rPr>
        <w:t>Semana Santa: Amou-nos até o fim</w:t>
      </w:r>
    </w:p>
    <w:p w14:paraId="36020D81" w14:textId="77777777" w:rsidR="00716709" w:rsidRPr="00F863A3" w:rsidRDefault="00716709">
      <w:pPr>
        <w:rPr>
          <w:b/>
          <w:i/>
        </w:rPr>
      </w:pPr>
    </w:p>
    <w:p w14:paraId="07CCE3F6" w14:textId="02A0B2DE" w:rsidR="00716709" w:rsidRPr="00F863A3" w:rsidRDefault="000A2D8F">
      <w:pPr>
        <w:rPr>
          <w:i/>
        </w:rPr>
      </w:pPr>
      <w:r w:rsidRPr="00F863A3">
        <w:rPr>
          <w:i/>
        </w:rPr>
        <w:t>A Semana Santa é o centro do ano litúrgico: revivemos</w:t>
      </w:r>
      <w:r w:rsidR="00B44CBC" w:rsidRPr="00F863A3">
        <w:rPr>
          <w:i/>
        </w:rPr>
        <w:t>,</w:t>
      </w:r>
      <w:r w:rsidRPr="00F863A3">
        <w:rPr>
          <w:i/>
        </w:rPr>
        <w:t xml:space="preserve"> nes</w:t>
      </w:r>
      <w:r w:rsidR="00B44CBC" w:rsidRPr="00F863A3">
        <w:rPr>
          <w:i/>
        </w:rPr>
        <w:t>s</w:t>
      </w:r>
      <w:r w:rsidRPr="00F863A3">
        <w:rPr>
          <w:i/>
        </w:rPr>
        <w:t>es dias</w:t>
      </w:r>
      <w:r w:rsidR="00B44CBC" w:rsidRPr="00F863A3">
        <w:rPr>
          <w:i/>
        </w:rPr>
        <w:t>,</w:t>
      </w:r>
      <w:r w:rsidRPr="00F863A3">
        <w:rPr>
          <w:i/>
        </w:rPr>
        <w:t xml:space="preserve"> os momentos decisivos de nossa redenção. A Igreja nos conduz pela mão, com </w:t>
      </w:r>
      <w:r w:rsidR="00B1604B" w:rsidRPr="00F863A3">
        <w:rPr>
          <w:i/>
        </w:rPr>
        <w:t xml:space="preserve">a </w:t>
      </w:r>
      <w:r w:rsidRPr="00F863A3">
        <w:rPr>
          <w:i/>
        </w:rPr>
        <w:t xml:space="preserve">sua sabedoria e </w:t>
      </w:r>
      <w:r w:rsidR="00B1604B" w:rsidRPr="00F863A3">
        <w:rPr>
          <w:i/>
        </w:rPr>
        <w:t xml:space="preserve">a sua </w:t>
      </w:r>
      <w:r w:rsidRPr="00F863A3">
        <w:rPr>
          <w:i/>
        </w:rPr>
        <w:t>criatividade, do Domingo de Ramos até a Cruz e a Ressurreição.</w:t>
      </w:r>
    </w:p>
    <w:p w14:paraId="5A51FC87" w14:textId="77777777" w:rsidR="00B1604B" w:rsidRDefault="00B1604B"/>
    <w:p w14:paraId="1651AEAC" w14:textId="77777777" w:rsidR="00716709" w:rsidRDefault="00716709"/>
    <w:p w14:paraId="56A6B7FA" w14:textId="77777777" w:rsidR="00716709" w:rsidRDefault="000A2D8F">
      <w:r>
        <w:t xml:space="preserve">No coração do ano litúrgico </w:t>
      </w:r>
      <w:r w:rsidR="00B1604B">
        <w:t>pulsa</w:t>
      </w:r>
      <w:r>
        <w:t xml:space="preserve"> o Mistério Pascal, o Tríduo do Senhor crucificado, morto e ressuscitado. Toda a história da salvação gira </w:t>
      </w:r>
      <w:r w:rsidR="00B1604B">
        <w:t>ao redor</w:t>
      </w:r>
      <w:r>
        <w:t xml:space="preserve"> destes dias santos, que passaram despercebidos para a maior parte dos homens, e que agora a Igreja celebra “do nascer ao pôr do sol”</w:t>
      </w:r>
      <w:r>
        <w:rPr>
          <w:vertAlign w:val="superscript"/>
        </w:rPr>
        <w:footnoteReference w:id="2"/>
      </w:r>
      <w:r>
        <w:t xml:space="preserve">. Todo o ano litúrgico, </w:t>
      </w:r>
      <w:r w:rsidR="00B1604B">
        <w:t>resumo</w:t>
      </w:r>
      <w:r>
        <w:t xml:space="preserve"> da história de Deus com os homens, surge da </w:t>
      </w:r>
      <w:r>
        <w:rPr>
          <w:i/>
        </w:rPr>
        <w:t>memória</w:t>
      </w:r>
      <w:r>
        <w:t xml:space="preserve"> que a Igreja conserva da </w:t>
      </w:r>
      <w:r>
        <w:rPr>
          <w:i/>
        </w:rPr>
        <w:t xml:space="preserve">hora </w:t>
      </w:r>
      <w:r>
        <w:t>de Jesus: quando, “tendo amado aos seus que estavam no mundo, amou-os até o fim”</w:t>
      </w:r>
      <w:r>
        <w:rPr>
          <w:vertAlign w:val="superscript"/>
        </w:rPr>
        <w:footnoteReference w:id="3"/>
      </w:r>
      <w:r>
        <w:t>.</w:t>
      </w:r>
    </w:p>
    <w:p w14:paraId="54ECD433" w14:textId="77777777" w:rsidR="00716709" w:rsidRDefault="00716709"/>
    <w:p w14:paraId="1C959553" w14:textId="7808CDD7" w:rsidR="00716709" w:rsidRDefault="000A2D8F">
      <w:r>
        <w:t xml:space="preserve">A Igreja </w:t>
      </w:r>
      <w:r w:rsidR="00B1604B" w:rsidRPr="00B1604B">
        <w:t>estende</w:t>
      </w:r>
      <w:r>
        <w:rPr>
          <w:b/>
        </w:rPr>
        <w:t xml:space="preserve"> </w:t>
      </w:r>
      <w:r>
        <w:t>nes</w:t>
      </w:r>
      <w:r w:rsidR="00B44CBC">
        <w:t>s</w:t>
      </w:r>
      <w:r>
        <w:t>es dias</w:t>
      </w:r>
      <w:r w:rsidR="00B1604B">
        <w:t xml:space="preserve"> a</w:t>
      </w:r>
      <w:r>
        <w:t xml:space="preserve"> sua sabedoria maternal para nos </w:t>
      </w:r>
      <w:r w:rsidR="00B1604B">
        <w:t>introduzir</w:t>
      </w:r>
      <w:r>
        <w:t xml:space="preserve"> nos momentos decisivos d</w:t>
      </w:r>
      <w:r w:rsidR="00B1604B">
        <w:t>a</w:t>
      </w:r>
      <w:r>
        <w:t xml:space="preserve"> nossa redenção</w:t>
      </w:r>
      <w:r w:rsidR="00B1604B">
        <w:t xml:space="preserve">. </w:t>
      </w:r>
      <w:r w:rsidR="00B1604B" w:rsidRPr="00B1604B">
        <w:t xml:space="preserve">Se não oferecermos resistência, seremos </w:t>
      </w:r>
      <w:r w:rsidR="00B1604B">
        <w:t>levados</w:t>
      </w:r>
      <w:r w:rsidR="00B1604B" w:rsidRPr="00B1604B">
        <w:t>:</w:t>
      </w:r>
      <w:r>
        <w:t xml:space="preserve"> pelo recolhimento com o qual a liturgia da Semana Santa nos introduz na Paixão, </w:t>
      </w:r>
      <w:r w:rsidR="00B1604B">
        <w:t>pel</w:t>
      </w:r>
      <w:r>
        <w:t xml:space="preserve">a </w:t>
      </w:r>
      <w:r w:rsidRPr="00B1604B">
        <w:t>unção</w:t>
      </w:r>
      <w:r>
        <w:rPr>
          <w:b/>
        </w:rPr>
        <w:t xml:space="preserve"> </w:t>
      </w:r>
      <w:r>
        <w:t xml:space="preserve">com que nos </w:t>
      </w:r>
      <w:r w:rsidR="00B1604B">
        <w:t>move</w:t>
      </w:r>
      <w:r>
        <w:t xml:space="preserve"> a velar junto ao Senhor, </w:t>
      </w:r>
      <w:r w:rsidR="00B1604B">
        <w:t>pela explosão</w:t>
      </w:r>
      <w:r>
        <w:t xml:space="preserve"> de alegria que emana da Vigília da Ressurreição. Muitos dos ritos que vivemos nes</w:t>
      </w:r>
      <w:r w:rsidR="00B44CBC">
        <w:t>s</w:t>
      </w:r>
      <w:r>
        <w:t>e</w:t>
      </w:r>
      <w:r w:rsidR="006437E9">
        <w:t>s</w:t>
      </w:r>
      <w:r>
        <w:t xml:space="preserve"> dias têm suas raízes em tradições muito antigas: sua força está </w:t>
      </w:r>
      <w:r w:rsidR="006437E9" w:rsidRPr="006437E9">
        <w:t>aquilatada</w:t>
      </w:r>
      <w:r>
        <w:rPr>
          <w:b/>
        </w:rPr>
        <w:t xml:space="preserve"> </w:t>
      </w:r>
      <w:r>
        <w:t>pela piedade dos cristãos e pela fé dos santos de dois milênios.</w:t>
      </w:r>
    </w:p>
    <w:p w14:paraId="318E611A" w14:textId="77777777" w:rsidR="00716709" w:rsidRDefault="00716709"/>
    <w:p w14:paraId="3E2FF504" w14:textId="77777777" w:rsidR="00716709" w:rsidRDefault="000A2D8F">
      <w:pPr>
        <w:rPr>
          <w:b/>
        </w:rPr>
      </w:pPr>
      <w:r>
        <w:rPr>
          <w:b/>
        </w:rPr>
        <w:t>O Domingo de Ramos</w:t>
      </w:r>
    </w:p>
    <w:p w14:paraId="50D77ABC" w14:textId="77777777" w:rsidR="00716709" w:rsidRDefault="00716709">
      <w:pPr>
        <w:rPr>
          <w:b/>
        </w:rPr>
      </w:pPr>
    </w:p>
    <w:p w14:paraId="758C67CB" w14:textId="04CDB941" w:rsidR="00716709" w:rsidRDefault="000A2D8F">
      <w:r>
        <w:t xml:space="preserve">O Domingo de Ramos é o pórtico que precede e </w:t>
      </w:r>
      <w:r w:rsidR="006437E9">
        <w:t>prepara</w:t>
      </w:r>
      <w:r>
        <w:t xml:space="preserve"> o Tríduo </w:t>
      </w:r>
      <w:r w:rsidR="00F23A82">
        <w:t>P</w:t>
      </w:r>
      <w:r>
        <w:t>ascal: “Neste umbral da Semana Santa, já tão próximos do momento em que se consumou sobre o Calvário a Redenção da humanidade inteira, parece-me particularmente apropriado que tu e eu consideremos os caminhos pelos quais Jesus Senhor Nosso nos salvou; que contemplemos o seu amor, verdadeiramente inefável, por umas pobres criaturas formadas com barro da terra”</w:t>
      </w:r>
      <w:r>
        <w:rPr>
          <w:vertAlign w:val="superscript"/>
        </w:rPr>
        <w:footnoteReference w:id="4"/>
      </w:r>
      <w:r>
        <w:t>.</w:t>
      </w:r>
    </w:p>
    <w:p w14:paraId="2676CD5C" w14:textId="77777777" w:rsidR="00716709" w:rsidRDefault="00716709"/>
    <w:p w14:paraId="36B10A94" w14:textId="77777777" w:rsidR="00716709" w:rsidRDefault="000A2D8F">
      <w:r>
        <w:t>Quando os primeiros fiéis escutavam a proclamação litúrgica dos relatos evangélicos da Paixão e a homilia que o bispo pronunciava, reconheciam-se em uma situação bem diferente de quem assiste a uma mera representação: “para seus corações piedosos, não havia diferença entre escutar o que se havia proclamado e ver o que havia acontecido”</w:t>
      </w:r>
      <w:r>
        <w:rPr>
          <w:vertAlign w:val="superscript"/>
        </w:rPr>
        <w:footnoteReference w:id="5"/>
      </w:r>
      <w:r>
        <w:t xml:space="preserve">. Nos relatos da Paixão, a entrada de Jesus em Jerusalém é como a apresentação oficial que Senhor faz de si mesmo como o Messias desejado e esperado, fora do qual não há salvação. </w:t>
      </w:r>
      <w:r w:rsidR="00CE025A">
        <w:t>O s</w:t>
      </w:r>
      <w:r>
        <w:t xml:space="preserve">eu gesto é o do Rei salvador que vem </w:t>
      </w:r>
      <w:r w:rsidR="00CE025A">
        <w:t>à</w:t>
      </w:r>
      <w:r>
        <w:t xml:space="preserve"> sua casa. Dentre os seus, alguns não </w:t>
      </w:r>
      <w:r w:rsidR="00CE025A">
        <w:t>O</w:t>
      </w:r>
      <w:r>
        <w:t xml:space="preserve"> receberam, mas outros sim, aclamando-o como o </w:t>
      </w:r>
      <w:r>
        <w:rPr>
          <w:i/>
        </w:rPr>
        <w:t xml:space="preserve">Bendito </w:t>
      </w:r>
      <w:r>
        <w:t>que vem em nome do Senhor</w:t>
      </w:r>
      <w:r>
        <w:rPr>
          <w:vertAlign w:val="superscript"/>
        </w:rPr>
        <w:footnoteReference w:id="6"/>
      </w:r>
      <w:r>
        <w:t>.</w:t>
      </w:r>
    </w:p>
    <w:p w14:paraId="40EFA688" w14:textId="77777777" w:rsidR="00716709" w:rsidRDefault="00716709"/>
    <w:p w14:paraId="44D49648" w14:textId="44B40987" w:rsidR="00716709" w:rsidRDefault="000A2D8F">
      <w:r>
        <w:lastRenderedPageBreak/>
        <w:t xml:space="preserve">O Senhor, sempre presente e atuante na Igreja, atualiza na liturgia, ano após ano, </w:t>
      </w:r>
      <w:r w:rsidR="004B66C1">
        <w:t>a</w:t>
      </w:r>
      <w:r>
        <w:t xml:space="preserve"> solene entrada no “Domingo de Ramos </w:t>
      </w:r>
      <w:r w:rsidR="00CE025A">
        <w:t>e d</w:t>
      </w:r>
      <w:r>
        <w:t>a Paixão do Senhor”, como</w:t>
      </w:r>
      <w:r w:rsidR="00CE025A">
        <w:t xml:space="preserve"> é chamado n</w:t>
      </w:r>
      <w:r>
        <w:t xml:space="preserve">o Missal. Seu próprio nome insinua uma duplicidade de elementos: alguns triunfais, outros dolorosos. “Neste dia </w:t>
      </w:r>
      <w:r w:rsidR="004B66C1">
        <w:t xml:space="preserve">– </w:t>
      </w:r>
      <w:r>
        <w:t>lê-se na rubrica</w:t>
      </w:r>
      <w:r w:rsidR="004B66C1">
        <w:t xml:space="preserve"> –</w:t>
      </w:r>
      <w:r>
        <w:t xml:space="preserve"> a Igreja recorda a entrada de Cristo, o Senhor, em Jerusalém para consumar seu Mistério pascal”</w:t>
      </w:r>
      <w:r>
        <w:rPr>
          <w:vertAlign w:val="superscript"/>
        </w:rPr>
        <w:footnoteReference w:id="7"/>
      </w:r>
      <w:r>
        <w:t xml:space="preserve">. Sua chegada está rodeada de aclamações e </w:t>
      </w:r>
      <w:r w:rsidR="00CE025A">
        <w:t>gritos</w:t>
      </w:r>
      <w:r>
        <w:t xml:space="preserve"> de júbilo, mesmo que as multidões </w:t>
      </w:r>
      <w:r w:rsidR="00D75289">
        <w:t xml:space="preserve">ainda </w:t>
      </w:r>
      <w:r>
        <w:t xml:space="preserve">não saibam para onde Jesus realmente se dirige, e </w:t>
      </w:r>
      <w:r w:rsidR="00CE025A">
        <w:t>encontrarão</w:t>
      </w:r>
      <w:r>
        <w:t xml:space="preserve"> o escândalo da Cruz. Nós, no entanto, no tempo da Igreja, sabemos qual é a direção dos passos do Senhor: Ele entra em Jerusalém “para consumar seu mistério pascal”. Por isso, para o cristão que aclama a Jesus como Messias na procissão do domingo de Ramos, não é uma surpresa encontrar-se, </w:t>
      </w:r>
      <w:r w:rsidR="00D75289">
        <w:t>a seguir</w:t>
      </w:r>
      <w:r>
        <w:t xml:space="preserve">, com </w:t>
      </w:r>
      <w:r w:rsidR="00CE025A">
        <w:t>o lado d</w:t>
      </w:r>
      <w:r>
        <w:t>oloros</w:t>
      </w:r>
      <w:r w:rsidR="00CE025A">
        <w:t>o</w:t>
      </w:r>
      <w:r>
        <w:t xml:space="preserve"> dos padecimentos do Senhor.</w:t>
      </w:r>
    </w:p>
    <w:p w14:paraId="2A96310F" w14:textId="77777777" w:rsidR="00716709" w:rsidRDefault="00716709"/>
    <w:p w14:paraId="5EE4CB50" w14:textId="1EA379D8" w:rsidR="00716709" w:rsidRDefault="000A2D8F">
      <w:r>
        <w:t>É ilustrativo o modo como a liturgia nos traduz es</w:t>
      </w:r>
      <w:r w:rsidR="00780FE6">
        <w:t>s</w:t>
      </w:r>
      <w:r>
        <w:t xml:space="preserve">e jogo de trevas e de luz no desígnio divino: o Domingo de Ramos não reúne duas celebrações </w:t>
      </w:r>
      <w:r w:rsidR="00D75289">
        <w:t>independentes</w:t>
      </w:r>
      <w:r>
        <w:t xml:space="preserve">, justapostas. O rito de entrada da </w:t>
      </w:r>
      <w:r w:rsidR="00C02A80">
        <w:t>m</w:t>
      </w:r>
      <w:r>
        <w:t xml:space="preserve">issa é a própria procissão, e esta desemboca diretamente na coleta da </w:t>
      </w:r>
      <w:r w:rsidR="00C02A80">
        <w:t>m</w:t>
      </w:r>
      <w:r>
        <w:t xml:space="preserve">issa. “Deus eterno e todo-poderoso </w:t>
      </w:r>
      <w:r w:rsidR="00C02A80">
        <w:t>–</w:t>
      </w:r>
      <w:r w:rsidR="000E4A0C">
        <w:t xml:space="preserve"> </w:t>
      </w:r>
      <w:r>
        <w:t>nos dirigimos ao Pai</w:t>
      </w:r>
      <w:r w:rsidR="000E4A0C">
        <w:t xml:space="preserve"> </w:t>
      </w:r>
      <w:r w:rsidR="00C02A80">
        <w:t>–</w:t>
      </w:r>
      <w:r>
        <w:t xml:space="preserve"> quisestes que o nosso Salvador se fizesse homem e morresse na cruz”</w:t>
      </w:r>
      <w:r>
        <w:rPr>
          <w:vertAlign w:val="superscript"/>
        </w:rPr>
        <w:footnoteReference w:id="8"/>
      </w:r>
      <w:r>
        <w:t xml:space="preserve">: aqui tudo </w:t>
      </w:r>
      <w:r w:rsidR="000E4A0C">
        <w:t xml:space="preserve">já </w:t>
      </w:r>
      <w:r>
        <w:t>fala do que vai acontecer nos próximos dias.</w:t>
      </w:r>
    </w:p>
    <w:p w14:paraId="0A58A51E" w14:textId="77777777" w:rsidR="00716709" w:rsidRDefault="00716709"/>
    <w:p w14:paraId="05C31657" w14:textId="77777777" w:rsidR="00716709" w:rsidRDefault="000A2D8F">
      <w:pPr>
        <w:rPr>
          <w:b/>
        </w:rPr>
      </w:pPr>
      <w:r>
        <w:rPr>
          <w:b/>
        </w:rPr>
        <w:t>A Quinta-feira Santa</w:t>
      </w:r>
    </w:p>
    <w:p w14:paraId="283CC20D" w14:textId="77777777" w:rsidR="00716709" w:rsidRDefault="00716709">
      <w:pPr>
        <w:rPr>
          <w:b/>
        </w:rPr>
      </w:pPr>
    </w:p>
    <w:p w14:paraId="3DED3A46" w14:textId="77777777" w:rsidR="00716709" w:rsidRDefault="000A2D8F">
      <w:r>
        <w:t xml:space="preserve">O Tríduo pascal começa com a </w:t>
      </w:r>
      <w:r w:rsidR="00830829">
        <w:t>Missa</w:t>
      </w:r>
      <w:r>
        <w:t xml:space="preserve"> vespertina da Ceia do Senhor. A Quinta-feira Santa se encontra entre a Quaresma que termina e o Tríduo que começa. O fio condutor de toda a celebração deste dia, a luz que </w:t>
      </w:r>
      <w:r w:rsidR="00830829">
        <w:t>envolve</w:t>
      </w:r>
      <w:r>
        <w:t xml:space="preserve"> tudo, é o Mistério pascal de Cristo, o próprio coração do acontecimento que se atualiza nos sinais sacramentais.</w:t>
      </w:r>
    </w:p>
    <w:p w14:paraId="50E16931" w14:textId="77777777" w:rsidR="00716709" w:rsidRDefault="00716709"/>
    <w:p w14:paraId="728D6DDD" w14:textId="77777777" w:rsidR="00716709" w:rsidRDefault="000A2D8F">
      <w:r>
        <w:t>A ação sagrada se centra naquela Ceia em que Jesus, antes de se entregar à morte, confiou à Igreja o testamento d</w:t>
      </w:r>
      <w:r w:rsidR="00830829">
        <w:t>o</w:t>
      </w:r>
      <w:r>
        <w:t xml:space="preserve"> seu amor, o Sacrifício da Aliança eterna</w:t>
      </w:r>
      <w:r>
        <w:rPr>
          <w:vertAlign w:val="superscript"/>
        </w:rPr>
        <w:footnoteReference w:id="9"/>
      </w:r>
      <w:r>
        <w:t xml:space="preserve">. </w:t>
      </w:r>
    </w:p>
    <w:p w14:paraId="36BCBB29" w14:textId="77777777" w:rsidR="00716709" w:rsidRDefault="00716709"/>
    <w:p w14:paraId="0164E1C0" w14:textId="77777777" w:rsidR="00716709" w:rsidRDefault="000A2D8F">
      <w:r>
        <w:t>“Enquanto instituía a Eucaristia, como memorial perpétuo d’Ele e da sua Páscoa, Jesus colocava simbolicamente este ato supremo da Revelação sob a luz da misericórdia. No mesmo horizonte da misericórdia, viveu Ele a sua paixão e morte, ciente do grande mistério de amor que se realizaria na cruz”</w:t>
      </w:r>
      <w:r>
        <w:rPr>
          <w:vertAlign w:val="superscript"/>
        </w:rPr>
        <w:footnoteReference w:id="10"/>
      </w:r>
      <w:r>
        <w:t>. A liturgia nos introduz de um modo vivo e atual nesse mistério da entrega de Jesus por nossa salvação. “É por isso que o Pai me ama: porque dou a minha vida. E assim, eu a recebo de novo. Ninguém me tira a vida, mas eu a dou por própria vontade”</w:t>
      </w:r>
      <w:r>
        <w:rPr>
          <w:vertAlign w:val="superscript"/>
        </w:rPr>
        <w:footnoteReference w:id="11"/>
      </w:r>
      <w:r>
        <w:t xml:space="preserve">. O </w:t>
      </w:r>
      <w:r>
        <w:rPr>
          <w:i/>
        </w:rPr>
        <w:t xml:space="preserve">fiat </w:t>
      </w:r>
      <w:r>
        <w:t xml:space="preserve">do Senhor que dá origem </w:t>
      </w:r>
      <w:r w:rsidR="00830829">
        <w:t>à</w:t>
      </w:r>
      <w:r>
        <w:t xml:space="preserve"> nossa salvação se faz presente na celebração da Igreja. Por isso a Coleta não vacila em nos incluir, </w:t>
      </w:r>
      <w:r w:rsidR="00830829">
        <w:t>usando o tempo presente</w:t>
      </w:r>
      <w:r>
        <w:t>, na Última Ceia: “</w:t>
      </w:r>
      <w:r>
        <w:rPr>
          <w:i/>
        </w:rPr>
        <w:t>Sacratissiman, Deus, frequentantibus Cenam…</w:t>
      </w:r>
      <w:r>
        <w:t xml:space="preserve">”, </w:t>
      </w:r>
      <w:r w:rsidRPr="00631980">
        <w:t xml:space="preserve">diz </w:t>
      </w:r>
      <w:r w:rsidR="00631980" w:rsidRPr="00631980">
        <w:t>em</w:t>
      </w:r>
      <w:r w:rsidRPr="00631980">
        <w:t xml:space="preserve"> latim</w:t>
      </w:r>
      <w:r>
        <w:t xml:space="preserve">, com </w:t>
      </w:r>
      <w:r w:rsidR="00631980">
        <w:t xml:space="preserve">a </w:t>
      </w:r>
      <w:r>
        <w:t>sua capacidade habitual de síntese: “estamos reunidos para a santa ceia”</w:t>
      </w:r>
      <w:r>
        <w:rPr>
          <w:vertAlign w:val="superscript"/>
        </w:rPr>
        <w:footnoteReference w:id="12"/>
      </w:r>
      <w:r>
        <w:t>.</w:t>
      </w:r>
    </w:p>
    <w:p w14:paraId="16352BAA" w14:textId="77777777" w:rsidR="00716709" w:rsidRDefault="00716709"/>
    <w:p w14:paraId="10D8D2FB" w14:textId="77777777" w:rsidR="00716709" w:rsidRDefault="000A2D8F">
      <w:r>
        <w:lastRenderedPageBreak/>
        <w:t>Este é “o dia santo em que nosso Senhor Jesus Cristo foi entregue por nós”</w:t>
      </w:r>
      <w:r>
        <w:rPr>
          <w:vertAlign w:val="superscript"/>
        </w:rPr>
        <w:footnoteReference w:id="13"/>
      </w:r>
      <w:r>
        <w:t>. As palavras de Jesus, “Eu vou, mas voltarei a vós” e “é bom para vós que eu vá. Se eu não for, o Defensor não virá a vós”</w:t>
      </w:r>
      <w:r>
        <w:rPr>
          <w:vertAlign w:val="superscript"/>
        </w:rPr>
        <w:footnoteReference w:id="14"/>
      </w:r>
      <w:r>
        <w:t xml:space="preserve"> nos introduzem no misterioso </w:t>
      </w:r>
      <w:r w:rsidRPr="00631980">
        <w:t>vaivém</w:t>
      </w:r>
      <w:r>
        <w:t xml:space="preserve"> entre </w:t>
      </w:r>
      <w:r w:rsidR="00631980">
        <w:t xml:space="preserve">a </w:t>
      </w:r>
      <w:r>
        <w:t xml:space="preserve">ausência e </w:t>
      </w:r>
      <w:r w:rsidR="00631980">
        <w:t xml:space="preserve">a </w:t>
      </w:r>
      <w:r>
        <w:t>presença do Senhor</w:t>
      </w:r>
      <w:r w:rsidR="0030759C">
        <w:t>,</w:t>
      </w:r>
      <w:r>
        <w:t xml:space="preserve"> que preside todo o Tríduo pascal e, a partir dele, toda a vida da Igreja. Por isso, nem a Quinta-feira Santa, nem os dias que se seguem, são </w:t>
      </w:r>
      <w:r w:rsidR="00631980">
        <w:t>dias</w:t>
      </w:r>
      <w:r>
        <w:t xml:space="preserve"> de tristeza ou de luto: ver assim o Tríduo sacro equivaleria a retroceder </w:t>
      </w:r>
      <w:r w:rsidR="00631980">
        <w:t>à</w:t>
      </w:r>
      <w:r>
        <w:t xml:space="preserve"> situação dos discípulos</w:t>
      </w:r>
      <w:r w:rsidR="00631980">
        <w:t xml:space="preserve"> </w:t>
      </w:r>
      <w:r>
        <w:t>antes da Ressurreição. “A alegria da Quinta-Feira Santa nasce de compreendermos que o Criador se excedeu no carinho por suas criaturas”</w:t>
      </w:r>
      <w:r>
        <w:rPr>
          <w:vertAlign w:val="superscript"/>
        </w:rPr>
        <w:footnoteReference w:id="15"/>
      </w:r>
      <w:r>
        <w:t xml:space="preserve">. Para perpetuar no mundo este carinho infinito que se concentra </w:t>
      </w:r>
      <w:r w:rsidR="00631980">
        <w:t>na</w:t>
      </w:r>
      <w:r>
        <w:t xml:space="preserve"> sua Páscoa, </w:t>
      </w:r>
      <w:r w:rsidR="00631980">
        <w:t>na</w:t>
      </w:r>
      <w:r>
        <w:t xml:space="preserve"> sua passagem deste mundo ao Pai, Jesus se entrega totalmente a nós, com</w:t>
      </w:r>
      <w:r w:rsidR="00631980">
        <w:t xml:space="preserve"> o</w:t>
      </w:r>
      <w:r>
        <w:t xml:space="preserve"> seu Corpo e </w:t>
      </w:r>
      <w:r w:rsidR="00631980">
        <w:t xml:space="preserve">o </w:t>
      </w:r>
      <w:r>
        <w:t>seu Sangue, em um novo memorial: o pão e o vinho, se convertem em “pão da vida” e “cálice da salvação”</w:t>
      </w:r>
      <w:r>
        <w:rPr>
          <w:vertAlign w:val="superscript"/>
        </w:rPr>
        <w:footnoteReference w:id="16"/>
      </w:r>
      <w:r>
        <w:t>. O Senhor ordena que, dali em diante, faça-se o mesmo que acaba de fazer, em sua memória</w:t>
      </w:r>
      <w:r>
        <w:rPr>
          <w:vertAlign w:val="superscript"/>
        </w:rPr>
        <w:footnoteReference w:id="17"/>
      </w:r>
      <w:r>
        <w:t xml:space="preserve">, e nasce assim a Páscoa da Igreja, a Eucaristia. </w:t>
      </w:r>
    </w:p>
    <w:p w14:paraId="6922AB54" w14:textId="77777777" w:rsidR="00716709" w:rsidRDefault="00716709"/>
    <w:p w14:paraId="7213AA4A" w14:textId="77777777" w:rsidR="00716709" w:rsidRDefault="000A2D8F">
      <w:r>
        <w:t xml:space="preserve">Há dois momentos muito eloquentes da celebração, </w:t>
      </w:r>
      <w:r w:rsidR="00631980" w:rsidRPr="00631980">
        <w:t>se os vemos na sua mútua relação</w:t>
      </w:r>
      <w:r>
        <w:t xml:space="preserve">: o </w:t>
      </w:r>
      <w:r w:rsidRPr="00631980">
        <w:t>lava-pés e</w:t>
      </w:r>
      <w:r>
        <w:t xml:space="preserve"> a reserva do Santíssimo Sacramento. </w:t>
      </w:r>
      <w:r w:rsidRPr="00631980">
        <w:t>O lava-pés</w:t>
      </w:r>
      <w:r>
        <w:t xml:space="preserve"> dos Doze anuncia, poucas horas da crucifixão, o amor maior: “o de dar a vida por seus amigos”</w:t>
      </w:r>
      <w:r>
        <w:rPr>
          <w:vertAlign w:val="superscript"/>
        </w:rPr>
        <w:footnoteReference w:id="18"/>
      </w:r>
      <w:r>
        <w:t xml:space="preserve">. A liturgia revive esse gesto, que </w:t>
      </w:r>
      <w:r w:rsidR="00B93A37">
        <w:t>surpreendeu</w:t>
      </w:r>
      <w:r>
        <w:t xml:space="preserve"> os apóstolos, na proclamação do Evangelho e na possibilidade de </w:t>
      </w:r>
      <w:r w:rsidR="00B93A37" w:rsidRPr="00B93A37">
        <w:t xml:space="preserve">lavar os pés </w:t>
      </w:r>
      <w:r>
        <w:t>de alguns fiéis. Ao concluir a Missa, a procissão para a reserva do Santíssimo Sacramento e a adoração dos fiéis revela a resposta amorosa da Igreja àquele inclinar-se humilde do Senhor sobre os pés dos Apóstolos. Esse tempo de oração silenciosa, que avança noite adentro, convida a relembrar a oração sacerdotal de Jesus no Cenáculo</w:t>
      </w:r>
      <w:r>
        <w:rPr>
          <w:vertAlign w:val="superscript"/>
        </w:rPr>
        <w:footnoteReference w:id="19"/>
      </w:r>
      <w:r>
        <w:t>.</w:t>
      </w:r>
    </w:p>
    <w:p w14:paraId="7778C946" w14:textId="77777777" w:rsidR="00716709" w:rsidRDefault="00716709"/>
    <w:p w14:paraId="6FCE6DF3" w14:textId="77777777" w:rsidR="00716709" w:rsidRDefault="000A2D8F">
      <w:r>
        <w:rPr>
          <w:b/>
        </w:rPr>
        <w:t>A Sexta-feira Santa</w:t>
      </w:r>
    </w:p>
    <w:p w14:paraId="5D5CF64A" w14:textId="77777777" w:rsidR="00716709" w:rsidRDefault="00716709"/>
    <w:p w14:paraId="52616E31" w14:textId="246EC9AE" w:rsidR="00716709" w:rsidRDefault="000A2D8F">
      <w:r>
        <w:t xml:space="preserve">A liturgia da Sexta-feira Santa começa com a prostração dos sacerdotes, </w:t>
      </w:r>
      <w:r w:rsidR="00621926">
        <w:t>em vez</w:t>
      </w:r>
      <w:r>
        <w:t xml:space="preserve"> do habitual beijo inicial. É um gesto de especial veneração ao altar, que se encontra </w:t>
      </w:r>
      <w:r w:rsidR="00621926" w:rsidRPr="00621926">
        <w:t>desguarnecido</w:t>
      </w:r>
      <w:r>
        <w:t xml:space="preserve">, </w:t>
      </w:r>
      <w:r w:rsidR="00621926">
        <w:t>sem nada</w:t>
      </w:r>
      <w:r>
        <w:t xml:space="preserve">, </w:t>
      </w:r>
      <w:r w:rsidR="00621926">
        <w:t>recordando</w:t>
      </w:r>
      <w:r>
        <w:t xml:space="preserve"> o Crucificado na hora da Paixão. Rompe o silêncio uma terna oração em que o celebrante apela às misericórdias de Deus </w:t>
      </w:r>
      <w:r w:rsidR="0030759C">
        <w:t xml:space="preserve">– </w:t>
      </w:r>
      <w:r w:rsidR="00B74024">
        <w:t>“</w:t>
      </w:r>
      <w:r>
        <w:t>Reminiscer</w:t>
      </w:r>
      <w:r w:rsidR="001D2D00">
        <w:t xml:space="preserve">e miserationem tuarum, Domine” –  </w:t>
      </w:r>
      <w:r>
        <w:t xml:space="preserve">e pede ao Pai a proteção eterna que o Filho nos conquistou com seu sangue, </w:t>
      </w:r>
      <w:r w:rsidR="00621926" w:rsidRPr="00621926">
        <w:t>isto é</w:t>
      </w:r>
      <w:r>
        <w:t>, dando sua vida por nós</w:t>
      </w:r>
      <w:r>
        <w:rPr>
          <w:vertAlign w:val="superscript"/>
        </w:rPr>
        <w:footnoteReference w:id="20"/>
      </w:r>
      <w:r>
        <w:t>.</w:t>
      </w:r>
    </w:p>
    <w:p w14:paraId="7ECD2A8F" w14:textId="77777777" w:rsidR="00716709" w:rsidRDefault="00716709"/>
    <w:p w14:paraId="1FE6AB35" w14:textId="493BE965" w:rsidR="00716709" w:rsidRDefault="000A2D8F">
      <w:r>
        <w:t xml:space="preserve">Uma </w:t>
      </w:r>
      <w:r w:rsidR="00BE4192">
        <w:t>antiga tradição reserva para ess</w:t>
      </w:r>
      <w:r>
        <w:t>e dia a proclamação da Paixão segundo São João como momento culminante da liturgia da Pala</w:t>
      </w:r>
      <w:r w:rsidR="00D85634">
        <w:t>vra. Nesse relato evangélico</w:t>
      </w:r>
      <w:r w:rsidR="00271EBF">
        <w:t xml:space="preserve">, </w:t>
      </w:r>
      <w:r w:rsidR="00D85634">
        <w:t xml:space="preserve">aparece </w:t>
      </w:r>
      <w:r>
        <w:t>a impressionante majestade de Cristo que “se entrega à morte com a plena liberdade do Amor”</w:t>
      </w:r>
      <w:r>
        <w:rPr>
          <w:vertAlign w:val="superscript"/>
        </w:rPr>
        <w:footnoteReference w:id="21"/>
      </w:r>
      <w:r>
        <w:t>. O senhor responde com valentia aos que vêm prendê-lo: “Quando Jesus disse ‘Sou eu’, eles recuaram e caíram por terra”</w:t>
      </w:r>
      <w:r>
        <w:rPr>
          <w:vertAlign w:val="superscript"/>
        </w:rPr>
        <w:footnoteReference w:id="22"/>
      </w:r>
      <w:r>
        <w:t xml:space="preserve">. Mais adiante o ouvimos responder a Pilatos: </w:t>
      </w:r>
      <w:r>
        <w:lastRenderedPageBreak/>
        <w:t>“meu reino não é deste mundo”</w:t>
      </w:r>
      <w:r>
        <w:rPr>
          <w:vertAlign w:val="superscript"/>
        </w:rPr>
        <w:footnoteReference w:id="23"/>
      </w:r>
      <w:r w:rsidR="00D85634">
        <w:t xml:space="preserve">, e por isso o seu exército </w:t>
      </w:r>
      <w:r>
        <w:t>não luta para libertá-lo. “</w:t>
      </w:r>
      <w:r>
        <w:rPr>
          <w:i/>
        </w:rPr>
        <w:t>Consummatum est”</w:t>
      </w:r>
      <w:r>
        <w:rPr>
          <w:vertAlign w:val="superscript"/>
        </w:rPr>
        <w:footnoteReference w:id="24"/>
      </w:r>
      <w:r>
        <w:t xml:space="preserve">: o Senhor </w:t>
      </w:r>
      <w:r w:rsidRPr="00176C77">
        <w:t>leva</w:t>
      </w:r>
      <w:r>
        <w:t xml:space="preserve"> até o fim a fidelidade ao seu Pai, e assim vence o mundo</w:t>
      </w:r>
      <w:r>
        <w:rPr>
          <w:vertAlign w:val="superscript"/>
        </w:rPr>
        <w:footnoteReference w:id="25"/>
      </w:r>
      <w:r>
        <w:t>.</w:t>
      </w:r>
    </w:p>
    <w:p w14:paraId="6F42E273" w14:textId="77777777" w:rsidR="00716709" w:rsidRDefault="00716709"/>
    <w:p w14:paraId="73F63994" w14:textId="77777777" w:rsidR="00716709" w:rsidRDefault="000A2D8F">
      <w:r>
        <w:t xml:space="preserve">Após a proclamação da Paixão e da oração universal, a liturgia dirige </w:t>
      </w:r>
      <w:r w:rsidR="00176C77">
        <w:t xml:space="preserve">a </w:t>
      </w:r>
      <w:r>
        <w:t xml:space="preserve">sua atenção para o </w:t>
      </w:r>
      <w:r>
        <w:rPr>
          <w:i/>
        </w:rPr>
        <w:t>Lignum Crucis</w:t>
      </w:r>
      <w:r>
        <w:t>, a árvore da Cruz: o glorioso instrumento da redenção humana. A adoração da Santa Cruz é um gesto de fé e de proclamação da vitória de Jesus sobre o demônio, o pecado e a morte. Com Ele, nós os cristãos vencemos, porque “esta é a vitória que venceu o mundo: a nossa fé”</w:t>
      </w:r>
      <w:r>
        <w:rPr>
          <w:vertAlign w:val="superscript"/>
        </w:rPr>
        <w:footnoteReference w:id="26"/>
      </w:r>
      <w:r>
        <w:t xml:space="preserve">. </w:t>
      </w:r>
    </w:p>
    <w:p w14:paraId="480BE0DF" w14:textId="77777777" w:rsidR="00716709" w:rsidRDefault="00716709"/>
    <w:p w14:paraId="0ABE9977" w14:textId="2F876BC0" w:rsidR="00716709" w:rsidRDefault="000A2D8F">
      <w:r>
        <w:t>A Igreja envolve a Cruz de honra e reverência: o bispo se aproxima para beijá-la sem casula e sem anel</w:t>
      </w:r>
      <w:r>
        <w:rPr>
          <w:vertAlign w:val="superscript"/>
        </w:rPr>
        <w:footnoteReference w:id="27"/>
      </w:r>
      <w:r>
        <w:t>. Após ele, segue a adoração dos fiéis, enquanto os cantos celebram seu caráter vitorioso: “</w:t>
      </w:r>
      <w:r w:rsidR="003F77C1">
        <w:t>Adoramos, Senhor, vosso madeiro/vossa ressurreição nós celebramos./ Veio alegria para o mundo inteiro/por esta cruz que hoje veneramos!</w:t>
      </w:r>
      <w:r>
        <w:t>”</w:t>
      </w:r>
      <w:r>
        <w:rPr>
          <w:vertAlign w:val="superscript"/>
        </w:rPr>
        <w:footnoteReference w:id="28"/>
      </w:r>
      <w:r>
        <w:t xml:space="preserve">. É uma misteriosa conjunção de morte e de vida na qual Deus quer que nos submerjamos: “Umas vezes, renovamos o gozoso impulso que levou o Senhor a Jerusalém. Outras, a dor da agonia que concluiu no Calvário... Ou a glória do seu triunfo sobre a morte e o pecado. Mas, sempre!, o amor </w:t>
      </w:r>
      <w:r w:rsidR="00271EBF">
        <w:t>–</w:t>
      </w:r>
      <w:r>
        <w:t xml:space="preserve"> gozoso, doloroso, glorioso </w:t>
      </w:r>
      <w:r w:rsidR="00271EBF">
        <w:t>–</w:t>
      </w:r>
      <w:r>
        <w:t xml:space="preserve"> do Coração de Jesus Cristo”</w:t>
      </w:r>
      <w:r>
        <w:rPr>
          <w:vertAlign w:val="superscript"/>
        </w:rPr>
        <w:footnoteReference w:id="29"/>
      </w:r>
      <w:r>
        <w:t>.</w:t>
      </w:r>
    </w:p>
    <w:p w14:paraId="4D122486" w14:textId="77777777" w:rsidR="00716709" w:rsidRDefault="00716709"/>
    <w:p w14:paraId="4C100EA8" w14:textId="77777777" w:rsidR="00716709" w:rsidRDefault="000A2D8F">
      <w:pPr>
        <w:rPr>
          <w:b/>
        </w:rPr>
      </w:pPr>
      <w:r>
        <w:rPr>
          <w:b/>
        </w:rPr>
        <w:t>O Sábado Santo e a Vigília Pascal</w:t>
      </w:r>
    </w:p>
    <w:p w14:paraId="1F0F250A" w14:textId="77777777" w:rsidR="00716709" w:rsidRDefault="00716709">
      <w:pPr>
        <w:rPr>
          <w:b/>
        </w:rPr>
      </w:pPr>
    </w:p>
    <w:p w14:paraId="230CBA97" w14:textId="793D5E5E" w:rsidR="00716709" w:rsidRDefault="000A2D8F">
      <w:r>
        <w:t>Um texto anônimo da antiguidade cristã recolhe, condensado, o mistério que a Igreja comemora no Sábado Santo: a descida de Cristo à mansão dos mortos. “Que está acontecendo hoje? Um grande silêncio reina sobre a Terra. Um grande silêncio e uma grande solidão. Um grande silêncio porque o Rei está dormindo; a Terra estremeceu e ficou silenciosa, porque o Deus feito Homem adormeceu e acordou os que dormiam havia séculos. Deus morreu na carne e despertou a mansão dos mortos”</w:t>
      </w:r>
      <w:r>
        <w:rPr>
          <w:vertAlign w:val="superscript"/>
        </w:rPr>
        <w:footnoteReference w:id="30"/>
      </w:r>
      <w:r>
        <w:t xml:space="preserve">. </w:t>
      </w:r>
      <w:r w:rsidR="00377E85">
        <w:t>Do mesmo modo que</w:t>
      </w:r>
      <w:r>
        <w:t xml:space="preserve"> vemos Deus descansar ao final de sua obra criadora no Gênesis, o Senhor </w:t>
      </w:r>
      <w:r w:rsidR="00C9313E">
        <w:t xml:space="preserve">repousa </w:t>
      </w:r>
      <w:r>
        <w:t xml:space="preserve">agora de fadiga redentora. Pois a Páscoa, que está por </w:t>
      </w:r>
      <w:r w:rsidR="00377E85">
        <w:t>surgir</w:t>
      </w:r>
      <w:r>
        <w:t xml:space="preserve"> definitivamente no mundo, é “a festa da nova criação”</w:t>
      </w:r>
      <w:r>
        <w:rPr>
          <w:vertAlign w:val="superscript"/>
        </w:rPr>
        <w:footnoteReference w:id="31"/>
      </w:r>
      <w:r>
        <w:t>: ao Senhor custou</w:t>
      </w:r>
      <w:r w:rsidR="00FD143E">
        <w:t xml:space="preserve">-lhe </w:t>
      </w:r>
      <w:r>
        <w:t xml:space="preserve">a vida </w:t>
      </w:r>
      <w:r w:rsidR="00FD143E">
        <w:t>devolver-nos a</w:t>
      </w:r>
      <w:r>
        <w:t xml:space="preserve"> Vida.</w:t>
      </w:r>
    </w:p>
    <w:p w14:paraId="3A5EF10C" w14:textId="77777777" w:rsidR="00716709" w:rsidRDefault="00716709"/>
    <w:p w14:paraId="67522A0E" w14:textId="77777777" w:rsidR="00716709" w:rsidRDefault="000A2D8F">
      <w:r>
        <w:t>“Um pouco de tempo, e não mais me vereis; e mais um pouco, e me vereis de novo”</w:t>
      </w:r>
      <w:r>
        <w:rPr>
          <w:vertAlign w:val="superscript"/>
        </w:rPr>
        <w:footnoteReference w:id="32"/>
      </w:r>
      <w:r>
        <w:t>: assim o Senhor dizia aos Apóstolos na véspera d</w:t>
      </w:r>
      <w:r w:rsidR="005474E2">
        <w:t>a</w:t>
      </w:r>
      <w:r>
        <w:t xml:space="preserve"> sua Paixão. Enquanto esperamos sua volta, meditamos em sua descida às trevas da morte, nas quais ainda estavam submersos aqueles justos da antiga Aliança. Cristo, portando em sua mão o sinal libertador da Cruz, põe fim ao seu sono e os introduz na luz do novo Reino: “Acorda, tu que dormes, porque </w:t>
      </w:r>
      <w:r>
        <w:lastRenderedPageBreak/>
        <w:t>não te criei para permaneceres na mansão dos mortos”</w:t>
      </w:r>
      <w:r>
        <w:rPr>
          <w:vertAlign w:val="superscript"/>
        </w:rPr>
        <w:footnoteReference w:id="33"/>
      </w:r>
      <w:r>
        <w:t xml:space="preserve">. Das </w:t>
      </w:r>
      <w:r w:rsidRPr="005474E2">
        <w:t xml:space="preserve">abadias </w:t>
      </w:r>
      <w:r w:rsidR="005474E2" w:rsidRPr="005474E2">
        <w:t>carolíngias</w:t>
      </w:r>
      <w:r w:rsidR="005474E2">
        <w:rPr>
          <w:rStyle w:val="apple-converted-space"/>
          <w:color w:val="4B443A"/>
          <w:shd w:val="clear" w:color="auto" w:fill="FFFFFF"/>
        </w:rPr>
        <w:t> </w:t>
      </w:r>
      <w:r>
        <w:t xml:space="preserve">do século VIII, se propagará pela Europa a comemoração deste grande Sábado: o dia da espera da Ressurreição, intensamente vivida pela Mãe de Jesus, de onde provém a devoção da Igreja a Santa Maria aos sábados. Agora, mais do que nunca, Ela é a </w:t>
      </w:r>
      <w:r>
        <w:rPr>
          <w:i/>
        </w:rPr>
        <w:t>stella matutina</w:t>
      </w:r>
      <w:r>
        <w:rPr>
          <w:vertAlign w:val="superscript"/>
        </w:rPr>
        <w:footnoteReference w:id="34"/>
      </w:r>
      <w:r>
        <w:t xml:space="preserve">, a estrela da manhã que anuncia a chegada do Senhor: o </w:t>
      </w:r>
      <w:r>
        <w:rPr>
          <w:i/>
        </w:rPr>
        <w:t>Lucifer matutinus</w:t>
      </w:r>
      <w:r>
        <w:rPr>
          <w:vertAlign w:val="superscript"/>
        </w:rPr>
        <w:footnoteReference w:id="35"/>
      </w:r>
      <w:r>
        <w:t xml:space="preserve">, o sol que vem do alto, </w:t>
      </w:r>
      <w:r>
        <w:rPr>
          <w:i/>
        </w:rPr>
        <w:t>oriens ex alto</w:t>
      </w:r>
      <w:r>
        <w:rPr>
          <w:vertAlign w:val="superscript"/>
        </w:rPr>
        <w:footnoteReference w:id="36"/>
      </w:r>
      <w:r>
        <w:t>.</w:t>
      </w:r>
    </w:p>
    <w:p w14:paraId="56244CFA" w14:textId="77777777" w:rsidR="00716709" w:rsidRDefault="00716709"/>
    <w:p w14:paraId="49A9F041" w14:textId="77777777" w:rsidR="00716709" w:rsidRDefault="000A2D8F">
      <w:r>
        <w:t>Na noite deste grande Sábado, a Igreja se reúne na mais solene de suas vigílias para celebrar a Ressurreição do Esposo, inclusive até as primeiras horas da madrugada. Essa celebração é o núcleo fundamental da liturgia cristã ao longo de todo o ano. Uma grande variedade de elementos simbólicos expressa a passagem das trevas para a luz, da morte para a vida nova na Ressurreição do Senhor: o fogo, o círio, a água, o incenso, a música e os sinos…</w:t>
      </w:r>
    </w:p>
    <w:p w14:paraId="1772DADD" w14:textId="77777777" w:rsidR="00716709" w:rsidRDefault="00716709"/>
    <w:p w14:paraId="2C42FD52" w14:textId="425A3023" w:rsidR="00716709" w:rsidRDefault="000A2D8F">
      <w:r>
        <w:t xml:space="preserve">A luz do círio é sinal de Cristo, luz do mundo, que irradia e inunda tudo; o fogo é o Espírito Santo, </w:t>
      </w:r>
      <w:r w:rsidR="00ED263E">
        <w:t>aceso</w:t>
      </w:r>
      <w:r>
        <w:t xml:space="preserve"> por Cristo nos corações dos fiéis; a água significa o caminho para a vida nova em Cristo, fonte d</w:t>
      </w:r>
      <w:r w:rsidR="00ED263E">
        <w:t>a</w:t>
      </w:r>
      <w:r>
        <w:t xml:space="preserve"> vida; o </w:t>
      </w:r>
      <w:r w:rsidR="00ED263E">
        <w:rPr>
          <w:i/>
        </w:rPr>
        <w:t>aleluia</w:t>
      </w:r>
      <w:r>
        <w:rPr>
          <w:i/>
        </w:rPr>
        <w:t xml:space="preserve"> </w:t>
      </w:r>
      <w:r>
        <w:t xml:space="preserve">pascal é o hino dos peregrinos a caminho para a Jerusalém do céu; o pão e o vinho da Eucaristia são </w:t>
      </w:r>
      <w:r w:rsidR="00ED263E" w:rsidRPr="00ED263E">
        <w:t>penhor</w:t>
      </w:r>
      <w:r>
        <w:rPr>
          <w:b/>
        </w:rPr>
        <w:t xml:space="preserve"> </w:t>
      </w:r>
      <w:r>
        <w:t xml:space="preserve">do banquete escatológico com o Ressuscitado. Enquanto participamos da Vigília </w:t>
      </w:r>
      <w:r w:rsidR="00EC458F">
        <w:t>P</w:t>
      </w:r>
      <w:r>
        <w:t xml:space="preserve">ascal, reconhecemos com o olhar da fé que a assembleia santa é a comunidade do Ressuscitado; que o tempo é um tempo novo, aberto ao </w:t>
      </w:r>
      <w:r>
        <w:rPr>
          <w:i/>
        </w:rPr>
        <w:t>hoje</w:t>
      </w:r>
      <w:r>
        <w:t xml:space="preserve"> definitivo de Cristo glorioso: “</w:t>
      </w:r>
      <w:r>
        <w:rPr>
          <w:i/>
        </w:rPr>
        <w:t>haec est dies, quam fecit Dominus”</w:t>
      </w:r>
      <w:r>
        <w:rPr>
          <w:vertAlign w:val="superscript"/>
        </w:rPr>
        <w:footnoteReference w:id="37"/>
      </w:r>
      <w:r>
        <w:t>, este é o dia novo que o Senhor inaugurou, o dia “</w:t>
      </w:r>
      <w:r w:rsidRPr="00F20475">
        <w:t>que não conhece fim</w:t>
      </w:r>
      <w:r>
        <w:t>”</w:t>
      </w:r>
      <w:r>
        <w:rPr>
          <w:vertAlign w:val="superscript"/>
        </w:rPr>
        <w:footnoteReference w:id="38"/>
      </w:r>
      <w:r>
        <w:t>.</w:t>
      </w:r>
    </w:p>
    <w:p w14:paraId="20FCECA3" w14:textId="77777777" w:rsidR="00716709" w:rsidRDefault="00716709"/>
    <w:p w14:paraId="220EE562" w14:textId="77777777" w:rsidR="00716709" w:rsidRDefault="000A2D8F">
      <w:pPr>
        <w:rPr>
          <w:i/>
        </w:rPr>
      </w:pPr>
      <w:r>
        <w:rPr>
          <w:i/>
        </w:rPr>
        <w:t>Felix María Arocena</w:t>
      </w:r>
    </w:p>
    <w:sectPr w:rsidR="00716709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6E984" w14:textId="77777777" w:rsidR="00462C37" w:rsidRDefault="00462C37">
      <w:pPr>
        <w:spacing w:line="240" w:lineRule="auto"/>
      </w:pPr>
      <w:r>
        <w:separator/>
      </w:r>
    </w:p>
  </w:endnote>
  <w:endnote w:type="continuationSeparator" w:id="0">
    <w:p w14:paraId="0A2CECE7" w14:textId="77777777" w:rsidR="00462C37" w:rsidRDefault="00462C37">
      <w:pPr>
        <w:spacing w:line="240" w:lineRule="auto"/>
      </w:pPr>
      <w:r>
        <w:continuationSeparator/>
      </w:r>
    </w:p>
  </w:endnote>
  <w:endnote w:type="continuationNotice" w:id="1">
    <w:p w14:paraId="3DD94198" w14:textId="77777777" w:rsidR="00462C37" w:rsidRDefault="00462C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44939" w14:textId="77777777" w:rsidR="00716709" w:rsidRDefault="0071670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CC52" w14:textId="77777777" w:rsidR="00462C37" w:rsidRDefault="00462C37">
      <w:pPr>
        <w:spacing w:line="240" w:lineRule="auto"/>
      </w:pPr>
      <w:r>
        <w:separator/>
      </w:r>
    </w:p>
  </w:footnote>
  <w:footnote w:type="continuationSeparator" w:id="0">
    <w:p w14:paraId="386E0B21" w14:textId="77777777" w:rsidR="00462C37" w:rsidRDefault="00462C37">
      <w:pPr>
        <w:spacing w:line="240" w:lineRule="auto"/>
      </w:pPr>
      <w:r>
        <w:continuationSeparator/>
      </w:r>
    </w:p>
  </w:footnote>
  <w:footnote w:type="continuationNotice" w:id="1">
    <w:p w14:paraId="56BB13A5" w14:textId="77777777" w:rsidR="00462C37" w:rsidRDefault="00462C37">
      <w:pPr>
        <w:spacing w:line="240" w:lineRule="auto"/>
      </w:pPr>
    </w:p>
  </w:footnote>
  <w:footnote w:id="2">
    <w:p w14:paraId="3082B4F9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B74024">
        <w:rPr>
          <w:i/>
          <w:sz w:val="20"/>
        </w:rPr>
        <w:t>Missal Romano</w:t>
      </w:r>
      <w:r>
        <w:rPr>
          <w:sz w:val="20"/>
          <w:szCs w:val="20"/>
        </w:rPr>
        <w:t>, Oração Eucarística III.</w:t>
      </w:r>
    </w:p>
  </w:footnote>
  <w:footnote w:id="3">
    <w:p w14:paraId="21657C2A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Jo 13, 1.</w:t>
      </w:r>
    </w:p>
  </w:footnote>
  <w:footnote w:id="4">
    <w:p w14:paraId="4D592A94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São Josemaria, </w:t>
      </w:r>
      <w:r>
        <w:rPr>
          <w:i/>
          <w:sz w:val="20"/>
          <w:szCs w:val="20"/>
        </w:rPr>
        <w:t>Amigos de Deus</w:t>
      </w:r>
      <w:r>
        <w:rPr>
          <w:sz w:val="20"/>
          <w:szCs w:val="20"/>
        </w:rPr>
        <w:t>, n. 110.</w:t>
      </w:r>
    </w:p>
  </w:footnote>
  <w:footnote w:id="5">
    <w:p w14:paraId="70C34901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São Leão Magno, </w:t>
      </w:r>
      <w:r>
        <w:rPr>
          <w:i/>
          <w:sz w:val="20"/>
          <w:szCs w:val="20"/>
        </w:rPr>
        <w:t xml:space="preserve">Sermo de Passione Domini </w:t>
      </w:r>
      <w:r>
        <w:rPr>
          <w:sz w:val="20"/>
          <w:szCs w:val="20"/>
        </w:rPr>
        <w:t>52, 1 (CCL 138, 307).</w:t>
      </w:r>
    </w:p>
  </w:footnote>
  <w:footnote w:id="6">
    <w:p w14:paraId="0ED49205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Cfr. </w:t>
      </w:r>
      <w:r>
        <w:rPr>
          <w:i/>
          <w:sz w:val="20"/>
          <w:szCs w:val="20"/>
        </w:rPr>
        <w:t xml:space="preserve">Mt </w:t>
      </w:r>
      <w:r>
        <w:rPr>
          <w:sz w:val="20"/>
          <w:szCs w:val="20"/>
        </w:rPr>
        <w:t>21,9.</w:t>
      </w:r>
    </w:p>
  </w:footnote>
  <w:footnote w:id="7">
    <w:p w14:paraId="0BF27774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Missal Romano</w:t>
      </w:r>
      <w:r>
        <w:rPr>
          <w:sz w:val="20"/>
          <w:szCs w:val="20"/>
        </w:rPr>
        <w:t>, Domingo de Ramos na Paixão do Senhor, n. 1.</w:t>
      </w:r>
    </w:p>
  </w:footnote>
  <w:footnote w:id="8">
    <w:p w14:paraId="6FDD4201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Missal Romano</w:t>
      </w:r>
      <w:r>
        <w:rPr>
          <w:sz w:val="20"/>
          <w:szCs w:val="20"/>
        </w:rPr>
        <w:t>, Domingo de Ramos na Paixão do Senhor, Oração Coleta</w:t>
      </w:r>
    </w:p>
  </w:footnote>
  <w:footnote w:id="9">
    <w:p w14:paraId="163A084B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Cfr. </w:t>
      </w:r>
      <w:r>
        <w:rPr>
          <w:i/>
          <w:sz w:val="20"/>
          <w:szCs w:val="20"/>
        </w:rPr>
        <w:t>Missal Romano</w:t>
      </w:r>
      <w:r>
        <w:rPr>
          <w:sz w:val="20"/>
          <w:szCs w:val="20"/>
        </w:rPr>
        <w:t>, Missa vespertina da Ceia do Senhor, Quinta-feira Santa, Coleta.</w:t>
      </w:r>
    </w:p>
  </w:footnote>
  <w:footnote w:id="10">
    <w:p w14:paraId="4B5CD653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Francisco, Bula </w:t>
      </w:r>
      <w:r>
        <w:rPr>
          <w:i/>
          <w:sz w:val="20"/>
          <w:szCs w:val="20"/>
        </w:rPr>
        <w:t>Misericordiae Vultus</w:t>
      </w:r>
      <w:r>
        <w:rPr>
          <w:sz w:val="20"/>
          <w:szCs w:val="20"/>
        </w:rPr>
        <w:t>, 11-IV-2015, n. 7.</w:t>
      </w:r>
    </w:p>
  </w:footnote>
  <w:footnote w:id="11">
    <w:p w14:paraId="43970704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Jo 10, 17-18.</w:t>
      </w:r>
    </w:p>
  </w:footnote>
  <w:footnote w:id="12">
    <w:p w14:paraId="13F50EA1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Missal Romano</w:t>
      </w:r>
      <w:r>
        <w:rPr>
          <w:sz w:val="20"/>
          <w:szCs w:val="20"/>
        </w:rPr>
        <w:t>, Missa vespertina da Ceia do Senhor, Quinta-feira Santa, Coleta.</w:t>
      </w:r>
    </w:p>
  </w:footnote>
  <w:footnote w:id="13">
    <w:p w14:paraId="3B3EF8BA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Missal Romano</w:t>
      </w:r>
      <w:r>
        <w:rPr>
          <w:sz w:val="20"/>
          <w:szCs w:val="20"/>
        </w:rPr>
        <w:t xml:space="preserve">, Missa vespertina da Ceia do Senhor, Quinta-feira Santa, </w:t>
      </w:r>
      <w:r>
        <w:rPr>
          <w:i/>
          <w:sz w:val="20"/>
          <w:szCs w:val="20"/>
        </w:rPr>
        <w:t>Comunicantes</w:t>
      </w:r>
      <w:r>
        <w:rPr>
          <w:sz w:val="20"/>
          <w:szCs w:val="20"/>
        </w:rPr>
        <w:t xml:space="preserve"> próprio.</w:t>
      </w:r>
    </w:p>
  </w:footnote>
  <w:footnote w:id="14">
    <w:p w14:paraId="79D8C0EC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Jo</w:t>
      </w:r>
      <w:r>
        <w:rPr>
          <w:sz w:val="20"/>
          <w:szCs w:val="20"/>
        </w:rPr>
        <w:t xml:space="preserve"> 14, 28; </w:t>
      </w:r>
      <w:r>
        <w:rPr>
          <w:i/>
          <w:sz w:val="20"/>
          <w:szCs w:val="20"/>
        </w:rPr>
        <w:t xml:space="preserve">Jo </w:t>
      </w:r>
      <w:r>
        <w:rPr>
          <w:sz w:val="20"/>
          <w:szCs w:val="20"/>
        </w:rPr>
        <w:t>16, 7.</w:t>
      </w:r>
    </w:p>
  </w:footnote>
  <w:footnote w:id="15">
    <w:p w14:paraId="0B6E1746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São Josemaria, </w:t>
      </w:r>
      <w:r>
        <w:rPr>
          <w:i/>
          <w:sz w:val="20"/>
          <w:szCs w:val="20"/>
        </w:rPr>
        <w:t>É Cristo que passa</w:t>
      </w:r>
      <w:r>
        <w:rPr>
          <w:sz w:val="20"/>
          <w:szCs w:val="20"/>
        </w:rPr>
        <w:t>, n. 84.</w:t>
      </w:r>
    </w:p>
  </w:footnote>
  <w:footnote w:id="16">
    <w:p w14:paraId="197F7D5F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Missal Romano</w:t>
      </w:r>
      <w:r>
        <w:rPr>
          <w:sz w:val="20"/>
          <w:szCs w:val="20"/>
        </w:rPr>
        <w:t>, ofertório.</w:t>
      </w:r>
    </w:p>
  </w:footnote>
  <w:footnote w:id="17">
    <w:p w14:paraId="4AF96E0B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Cfr. </w:t>
      </w:r>
      <w:r>
        <w:rPr>
          <w:i/>
          <w:sz w:val="20"/>
          <w:szCs w:val="20"/>
        </w:rPr>
        <w:t>1 Cor</w:t>
      </w:r>
      <w:r>
        <w:rPr>
          <w:sz w:val="20"/>
          <w:szCs w:val="20"/>
        </w:rPr>
        <w:t xml:space="preserve"> 11, 23-25.</w:t>
      </w:r>
    </w:p>
  </w:footnote>
  <w:footnote w:id="18">
    <w:p w14:paraId="5DFF6F3D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Cfr. </w:t>
      </w:r>
      <w:r>
        <w:rPr>
          <w:i/>
          <w:sz w:val="20"/>
          <w:szCs w:val="20"/>
        </w:rPr>
        <w:t>Jo</w:t>
      </w:r>
      <w:r>
        <w:rPr>
          <w:sz w:val="20"/>
          <w:szCs w:val="20"/>
        </w:rPr>
        <w:t xml:space="preserve"> 15, 13.</w:t>
      </w:r>
    </w:p>
  </w:footnote>
  <w:footnote w:id="19">
    <w:p w14:paraId="2B5B6FCC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Cfr. </w:t>
      </w:r>
      <w:r>
        <w:rPr>
          <w:i/>
          <w:sz w:val="20"/>
          <w:szCs w:val="20"/>
        </w:rPr>
        <w:t>Jo</w:t>
      </w:r>
      <w:r>
        <w:rPr>
          <w:sz w:val="20"/>
          <w:szCs w:val="20"/>
        </w:rPr>
        <w:t xml:space="preserve"> 17.</w:t>
      </w:r>
    </w:p>
  </w:footnote>
  <w:footnote w:id="20">
    <w:p w14:paraId="6DDCA984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Cfr. </w:t>
      </w:r>
      <w:r>
        <w:rPr>
          <w:i/>
          <w:sz w:val="20"/>
          <w:szCs w:val="20"/>
        </w:rPr>
        <w:t>Missal Romano</w:t>
      </w:r>
      <w:r>
        <w:rPr>
          <w:sz w:val="20"/>
          <w:szCs w:val="20"/>
        </w:rPr>
        <w:t>, Celebração da Paixão do Senhor, Sexta-feira Santa, oração inicial.</w:t>
      </w:r>
    </w:p>
  </w:footnote>
  <w:footnote w:id="21">
    <w:p w14:paraId="456026F0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São Josemaria, </w:t>
      </w:r>
      <w:r>
        <w:rPr>
          <w:i/>
          <w:sz w:val="20"/>
          <w:szCs w:val="20"/>
        </w:rPr>
        <w:t>Via Sacra</w:t>
      </w:r>
      <w:r>
        <w:rPr>
          <w:sz w:val="20"/>
          <w:szCs w:val="20"/>
        </w:rPr>
        <w:t>, X estação.</w:t>
      </w:r>
    </w:p>
  </w:footnote>
  <w:footnote w:id="22">
    <w:p w14:paraId="14C293F1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Jo</w:t>
      </w:r>
      <w:r>
        <w:rPr>
          <w:sz w:val="20"/>
          <w:szCs w:val="20"/>
        </w:rPr>
        <w:t xml:space="preserve"> 18, 6.</w:t>
      </w:r>
    </w:p>
  </w:footnote>
  <w:footnote w:id="23">
    <w:p w14:paraId="07B2345C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sz w:val="20"/>
          <w:szCs w:val="20"/>
        </w:rPr>
        <w:t xml:space="preserve"> Jo</w:t>
      </w:r>
      <w:r>
        <w:rPr>
          <w:sz w:val="20"/>
          <w:szCs w:val="20"/>
        </w:rPr>
        <w:t xml:space="preserve"> 18, 36.</w:t>
      </w:r>
    </w:p>
  </w:footnote>
  <w:footnote w:id="24">
    <w:p w14:paraId="5A8F5C8D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sz w:val="20"/>
          <w:szCs w:val="20"/>
        </w:rPr>
        <w:t xml:space="preserve"> Jo</w:t>
      </w:r>
      <w:r>
        <w:rPr>
          <w:sz w:val="20"/>
          <w:szCs w:val="20"/>
        </w:rPr>
        <w:t xml:space="preserve"> 19, 30.</w:t>
      </w:r>
    </w:p>
  </w:footnote>
  <w:footnote w:id="25">
    <w:p w14:paraId="48DE70BA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Cfr. </w:t>
      </w:r>
      <w:r>
        <w:rPr>
          <w:i/>
          <w:sz w:val="20"/>
          <w:szCs w:val="20"/>
        </w:rPr>
        <w:t>Jo</w:t>
      </w:r>
      <w:r>
        <w:rPr>
          <w:sz w:val="20"/>
          <w:szCs w:val="20"/>
        </w:rPr>
        <w:t xml:space="preserve"> 16, 33.</w:t>
      </w:r>
    </w:p>
  </w:footnote>
  <w:footnote w:id="26">
    <w:p w14:paraId="189771CE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1 </w:t>
      </w:r>
      <w:r>
        <w:rPr>
          <w:i/>
          <w:sz w:val="20"/>
          <w:szCs w:val="20"/>
        </w:rPr>
        <w:t xml:space="preserve">Jo </w:t>
      </w:r>
      <w:r>
        <w:rPr>
          <w:sz w:val="20"/>
          <w:szCs w:val="20"/>
        </w:rPr>
        <w:t>5, 4</w:t>
      </w:r>
    </w:p>
  </w:footnote>
  <w:footnote w:id="27">
    <w:p w14:paraId="04F5A456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Cfr. </w:t>
      </w:r>
      <w:r>
        <w:rPr>
          <w:i/>
          <w:sz w:val="20"/>
          <w:szCs w:val="20"/>
        </w:rPr>
        <w:t>Cerimonial dos bispos</w:t>
      </w:r>
      <w:r>
        <w:rPr>
          <w:sz w:val="20"/>
          <w:szCs w:val="20"/>
        </w:rPr>
        <w:t>, nn. 315. 322.</w:t>
      </w:r>
    </w:p>
  </w:footnote>
  <w:footnote w:id="28">
    <w:p w14:paraId="5EAE2911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Missal Romano</w:t>
      </w:r>
      <w:r>
        <w:rPr>
          <w:sz w:val="20"/>
          <w:szCs w:val="20"/>
        </w:rPr>
        <w:t>, Celebração da Paixão do Senhor, Sexta-feira Santa, n. 20.</w:t>
      </w:r>
    </w:p>
  </w:footnote>
  <w:footnote w:id="29">
    <w:p w14:paraId="5A6A695C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São Josemaria, </w:t>
      </w:r>
      <w:r>
        <w:rPr>
          <w:i/>
          <w:sz w:val="20"/>
          <w:szCs w:val="20"/>
        </w:rPr>
        <w:t>Via Sacra</w:t>
      </w:r>
      <w:r>
        <w:rPr>
          <w:sz w:val="20"/>
          <w:szCs w:val="20"/>
        </w:rPr>
        <w:t>, 14,3.</w:t>
      </w:r>
    </w:p>
  </w:footnote>
  <w:footnote w:id="30">
    <w:p w14:paraId="3F58D5C0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Homilia sobre o grande e santo Sábado (PG 43, 439).</w:t>
      </w:r>
    </w:p>
  </w:footnote>
  <w:footnote w:id="31">
    <w:p w14:paraId="4E0CECBC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Bento XVI, Homilia da Vigília Pascal, 7-IV-2012.</w:t>
      </w:r>
    </w:p>
  </w:footnote>
  <w:footnote w:id="32">
    <w:p w14:paraId="60E2B4CC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Jo</w:t>
      </w:r>
      <w:r>
        <w:rPr>
          <w:sz w:val="20"/>
          <w:szCs w:val="20"/>
        </w:rPr>
        <w:t xml:space="preserve"> 16, 16.</w:t>
      </w:r>
    </w:p>
  </w:footnote>
  <w:footnote w:id="33">
    <w:p w14:paraId="2B5A30D1" w14:textId="426C591F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Homilia sobre o grande e santo Sábado (PG 43, 439).</w:t>
      </w:r>
      <w:bookmarkStart w:id="0" w:name="_GoBack"/>
      <w:bookmarkEnd w:id="0"/>
    </w:p>
  </w:footnote>
  <w:footnote w:id="34">
    <w:p w14:paraId="3E0F9A44" w14:textId="77777777" w:rsidR="00716709" w:rsidRPr="00446D4C" w:rsidRDefault="000A2D8F">
      <w:pPr>
        <w:spacing w:line="240" w:lineRule="auto"/>
        <w:rPr>
          <w:sz w:val="20"/>
          <w:szCs w:val="20"/>
          <w:lang w:val="it-IT"/>
        </w:rPr>
      </w:pPr>
      <w:r>
        <w:rPr>
          <w:vertAlign w:val="superscript"/>
        </w:rPr>
        <w:footnoteRef/>
      </w:r>
      <w:r w:rsidRPr="00446D4C">
        <w:rPr>
          <w:sz w:val="20"/>
          <w:szCs w:val="20"/>
          <w:lang w:val="it-IT"/>
        </w:rPr>
        <w:t xml:space="preserve"> </w:t>
      </w:r>
      <w:r w:rsidRPr="00B74024">
        <w:rPr>
          <w:i/>
          <w:sz w:val="20"/>
          <w:lang w:val="it-IT"/>
        </w:rPr>
        <w:t>Ladainha Lauretana</w:t>
      </w:r>
      <w:r w:rsidRPr="00446D4C">
        <w:rPr>
          <w:sz w:val="20"/>
          <w:szCs w:val="20"/>
          <w:lang w:val="it-IT"/>
        </w:rPr>
        <w:t xml:space="preserve"> (cfr. Si 50, 6).</w:t>
      </w:r>
    </w:p>
  </w:footnote>
  <w:footnote w:id="35">
    <w:p w14:paraId="779E0275" w14:textId="77777777" w:rsidR="00716709" w:rsidRPr="00446D4C" w:rsidRDefault="000A2D8F">
      <w:pPr>
        <w:spacing w:line="240" w:lineRule="auto"/>
        <w:rPr>
          <w:sz w:val="20"/>
          <w:szCs w:val="20"/>
          <w:lang w:val="it-IT"/>
        </w:rPr>
      </w:pPr>
      <w:r>
        <w:rPr>
          <w:vertAlign w:val="superscript"/>
        </w:rPr>
        <w:footnoteRef/>
      </w:r>
      <w:r w:rsidRPr="00446D4C">
        <w:rPr>
          <w:sz w:val="20"/>
          <w:szCs w:val="20"/>
          <w:lang w:val="it-IT"/>
        </w:rPr>
        <w:t xml:space="preserve"> </w:t>
      </w:r>
      <w:r w:rsidRPr="00446D4C">
        <w:rPr>
          <w:i/>
          <w:sz w:val="20"/>
          <w:szCs w:val="20"/>
          <w:lang w:val="it-IT"/>
        </w:rPr>
        <w:t>Missal Romano</w:t>
      </w:r>
      <w:r w:rsidRPr="00446D4C">
        <w:rPr>
          <w:sz w:val="20"/>
          <w:szCs w:val="20"/>
          <w:lang w:val="it-IT"/>
        </w:rPr>
        <w:t xml:space="preserve">, Vigília Pascal, </w:t>
      </w:r>
      <w:r w:rsidR="00446D4C" w:rsidRPr="00446D4C">
        <w:rPr>
          <w:sz w:val="20"/>
          <w:szCs w:val="20"/>
          <w:lang w:val="it-IT"/>
        </w:rPr>
        <w:t>Precônio</w:t>
      </w:r>
      <w:r w:rsidRPr="00446D4C">
        <w:rPr>
          <w:sz w:val="20"/>
          <w:szCs w:val="20"/>
          <w:lang w:val="it-IT"/>
        </w:rPr>
        <w:t xml:space="preserve"> Pascal.</w:t>
      </w:r>
    </w:p>
  </w:footnote>
  <w:footnote w:id="36">
    <w:p w14:paraId="03D147F5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Liturgia das Horas, Hino </w:t>
      </w:r>
      <w:r>
        <w:rPr>
          <w:i/>
          <w:sz w:val="20"/>
          <w:szCs w:val="20"/>
        </w:rPr>
        <w:t>Benedictus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Lc </w:t>
      </w:r>
      <w:r>
        <w:rPr>
          <w:sz w:val="20"/>
          <w:szCs w:val="20"/>
        </w:rPr>
        <w:t>1,78)</w:t>
      </w:r>
    </w:p>
  </w:footnote>
  <w:footnote w:id="37">
    <w:p w14:paraId="0EC22274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Sl</w:t>
      </w:r>
      <w:r>
        <w:rPr>
          <w:sz w:val="20"/>
          <w:szCs w:val="20"/>
        </w:rPr>
        <w:t xml:space="preserve"> 117 (118), 24.</w:t>
      </w:r>
    </w:p>
  </w:footnote>
  <w:footnote w:id="38">
    <w:p w14:paraId="48B06234" w14:textId="77777777" w:rsidR="00716709" w:rsidRDefault="000A2D8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Cfr. </w:t>
      </w:r>
      <w:r>
        <w:rPr>
          <w:i/>
          <w:sz w:val="20"/>
          <w:szCs w:val="20"/>
        </w:rPr>
        <w:t>Missal Romano</w:t>
      </w:r>
      <w:r>
        <w:rPr>
          <w:sz w:val="20"/>
          <w:szCs w:val="20"/>
        </w:rPr>
        <w:t xml:space="preserve">, Vigília Pascal, </w:t>
      </w:r>
      <w:r w:rsidR="00446D4C" w:rsidRPr="00446D4C">
        <w:rPr>
          <w:sz w:val="20"/>
          <w:szCs w:val="20"/>
          <w:lang w:val="it-IT"/>
        </w:rPr>
        <w:t xml:space="preserve">Precônio </w:t>
      </w:r>
      <w:r>
        <w:rPr>
          <w:sz w:val="20"/>
          <w:szCs w:val="20"/>
        </w:rPr>
        <w:t>Pascal.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3DDCB" w14:textId="77777777" w:rsidR="00B74024" w:rsidRDefault="00B74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09"/>
    <w:rsid w:val="000A2D8F"/>
    <w:rsid w:val="000E4A0C"/>
    <w:rsid w:val="00140992"/>
    <w:rsid w:val="00176C77"/>
    <w:rsid w:val="001D2D00"/>
    <w:rsid w:val="001E7AEF"/>
    <w:rsid w:val="00271EBF"/>
    <w:rsid w:val="003070C7"/>
    <w:rsid w:val="0030759C"/>
    <w:rsid w:val="00377E85"/>
    <w:rsid w:val="003F77C1"/>
    <w:rsid w:val="00446D4C"/>
    <w:rsid w:val="00462C37"/>
    <w:rsid w:val="004969C6"/>
    <w:rsid w:val="004B66C1"/>
    <w:rsid w:val="005145F1"/>
    <w:rsid w:val="005474E2"/>
    <w:rsid w:val="00621926"/>
    <w:rsid w:val="00631980"/>
    <w:rsid w:val="006437E9"/>
    <w:rsid w:val="00650EF4"/>
    <w:rsid w:val="00716709"/>
    <w:rsid w:val="00780FE6"/>
    <w:rsid w:val="00830829"/>
    <w:rsid w:val="009947CE"/>
    <w:rsid w:val="00996815"/>
    <w:rsid w:val="009F6840"/>
    <w:rsid w:val="00B1604B"/>
    <w:rsid w:val="00B44CBC"/>
    <w:rsid w:val="00B6569B"/>
    <w:rsid w:val="00B74024"/>
    <w:rsid w:val="00B93A37"/>
    <w:rsid w:val="00BE4192"/>
    <w:rsid w:val="00C02A80"/>
    <w:rsid w:val="00C9313E"/>
    <w:rsid w:val="00CE025A"/>
    <w:rsid w:val="00D75289"/>
    <w:rsid w:val="00D85634"/>
    <w:rsid w:val="00EC458F"/>
    <w:rsid w:val="00ED263E"/>
    <w:rsid w:val="00EE326F"/>
    <w:rsid w:val="00F20475"/>
    <w:rsid w:val="00F23A82"/>
    <w:rsid w:val="00F53799"/>
    <w:rsid w:val="00F863A3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5474E2"/>
  </w:style>
  <w:style w:type="paragraph" w:styleId="Header">
    <w:name w:val="header"/>
    <w:basedOn w:val="Normal"/>
    <w:link w:val="HeaderChar"/>
    <w:uiPriority w:val="99"/>
    <w:unhideWhenUsed/>
    <w:rsid w:val="00B7402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24"/>
  </w:style>
  <w:style w:type="paragraph" w:styleId="BalloonText">
    <w:name w:val="Balloon Text"/>
    <w:basedOn w:val="Normal"/>
    <w:link w:val="BalloonTextChar"/>
    <w:uiPriority w:val="99"/>
    <w:semiHidden/>
    <w:unhideWhenUsed/>
    <w:rsid w:val="00B74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5474E2"/>
  </w:style>
  <w:style w:type="paragraph" w:styleId="Header">
    <w:name w:val="header"/>
    <w:basedOn w:val="Normal"/>
    <w:link w:val="HeaderChar"/>
    <w:uiPriority w:val="99"/>
    <w:unhideWhenUsed/>
    <w:rsid w:val="00B7402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24"/>
  </w:style>
  <w:style w:type="paragraph" w:styleId="BalloonText">
    <w:name w:val="Balloon Text"/>
    <w:basedOn w:val="Normal"/>
    <w:link w:val="BalloonTextChar"/>
    <w:uiPriority w:val="99"/>
    <w:semiHidden/>
    <w:unhideWhenUsed/>
    <w:rsid w:val="00B74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1772</Words>
  <Characters>10107</Characters>
  <Application>Microsoft Macintosh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. .</cp:lastModifiedBy>
  <cp:revision>3</cp:revision>
  <cp:lastPrinted>2017-04-04T17:23:00Z</cp:lastPrinted>
  <dcterms:created xsi:type="dcterms:W3CDTF">2017-04-04T17:23:00Z</dcterms:created>
  <dcterms:modified xsi:type="dcterms:W3CDTF">2017-04-04T17:23:00Z</dcterms:modified>
</cp:coreProperties>
</file>